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1283" w:leftChars="152" w:hanging="964" w:hangingChars="300"/>
        <w:jc w:val="left"/>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关于公布2021年河南省高等教育教学改革研究与实践项目（学位与研究生教育）立项名单的通知</w:t>
      </w:r>
    </w:p>
    <w:p>
      <w:pPr>
        <w:rPr>
          <w:rFonts w:hint="default" w:ascii="微软雅黑" w:hAnsi="微软雅黑" w:eastAsia="微软雅黑" w:cs="微软雅黑"/>
          <w:i w:val="0"/>
          <w:iCs w:val="0"/>
          <w:caps w:val="0"/>
          <w:color w:val="000000"/>
          <w:spacing w:val="0"/>
          <w:sz w:val="24"/>
          <w:szCs w:val="24"/>
          <w:shd w:val="clear" w:fill="FFFFFF"/>
          <w:lang w:val="en-US" w:eastAsia="zh-CN"/>
        </w:rPr>
      </w:pPr>
      <w:r>
        <w:rPr>
          <w:rFonts w:hint="eastAsia" w:ascii="微软雅黑" w:hAnsi="微软雅黑" w:eastAsia="微软雅黑" w:cs="微软雅黑"/>
          <w:i w:val="0"/>
          <w:iCs w:val="0"/>
          <w:caps w:val="0"/>
          <w:color w:val="000000"/>
          <w:spacing w:val="0"/>
          <w:sz w:val="24"/>
          <w:szCs w:val="24"/>
          <w:shd w:val="clear" w:fill="FFFFFF"/>
          <w:lang w:val="en-US" w:eastAsia="zh-CN"/>
        </w:rPr>
        <w:t>各研究生培养单位：</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根据《河南省教育厅办公室关于开展 2021 年河南省高等教育</w:t>
      </w:r>
      <w:r>
        <w:rPr>
          <w:rFonts w:hint="eastAsia" w:ascii="仿宋" w:hAnsi="仿宋" w:eastAsia="仿宋" w:cs="仿宋"/>
          <w:color w:val="000000"/>
          <w:kern w:val="0"/>
          <w:sz w:val="31"/>
          <w:szCs w:val="31"/>
          <w:lang w:val="en-US" w:eastAsia="zh-CN" w:bidi="ar"/>
        </w:rPr>
        <w:t>教学改革研究与实践项目（研究生教育）立项与结项工作的通知》（教办研〔2021〕275 号）</w:t>
      </w:r>
      <w:r>
        <w:rPr>
          <w:rFonts w:ascii="仿宋" w:hAnsi="仿宋" w:eastAsia="仿宋" w:cs="仿宋"/>
          <w:color w:val="000000"/>
          <w:kern w:val="0"/>
          <w:sz w:val="31"/>
          <w:szCs w:val="31"/>
          <w:lang w:val="en-US" w:eastAsia="zh-CN" w:bidi="ar"/>
        </w:rPr>
        <w:t xml:space="preserve">《河 南 省 教 育 厅 </w:t>
      </w:r>
      <w:r>
        <w:rPr>
          <w:rFonts w:hint="default" w:ascii="仿宋" w:hAnsi="仿宋" w:eastAsia="仿宋" w:cs="仿宋"/>
          <w:color w:val="000000"/>
          <w:kern w:val="0"/>
          <w:sz w:val="31"/>
          <w:szCs w:val="31"/>
          <w:lang w:val="en-US" w:eastAsia="zh-CN" w:bidi="ar"/>
        </w:rPr>
        <w:t>关于公布 2021 年河南省高等教育教学改革研究与实践项目（学位与研究生教育）立项名单的通知</w:t>
      </w:r>
      <w:r>
        <w:rPr>
          <w:rFonts w:hint="eastAsia" w:ascii="仿宋" w:hAnsi="仿宋" w:eastAsia="仿宋" w:cs="仿宋"/>
          <w:color w:val="000000"/>
          <w:kern w:val="0"/>
          <w:sz w:val="31"/>
          <w:szCs w:val="31"/>
          <w:lang w:val="en-US" w:eastAsia="zh-CN" w:bidi="ar"/>
        </w:rPr>
        <w:t>》</w:t>
      </w:r>
      <w:r>
        <w:rPr>
          <w:rFonts w:hint="eastAsia" w:ascii="仿宋" w:hAnsi="仿宋" w:eastAsia="仿宋" w:cs="仿宋"/>
          <w:b/>
          <w:bCs/>
          <w:color w:val="0000FF"/>
          <w:kern w:val="0"/>
          <w:sz w:val="31"/>
          <w:szCs w:val="31"/>
          <w:lang w:val="en-US" w:eastAsia="zh-CN" w:bidi="ar"/>
        </w:rPr>
        <w:t>（</w:t>
      </w:r>
      <w:r>
        <w:rPr>
          <w:rFonts w:ascii="仿宋" w:hAnsi="仿宋" w:eastAsia="仿宋" w:cs="仿宋"/>
          <w:b/>
          <w:bCs/>
          <w:color w:val="0000FF"/>
          <w:kern w:val="0"/>
          <w:sz w:val="31"/>
          <w:szCs w:val="31"/>
          <w:lang w:val="en-US" w:eastAsia="zh-CN" w:bidi="ar"/>
        </w:rPr>
        <w:t>教研〔2021〕480 号</w:t>
      </w:r>
      <w:r>
        <w:rPr>
          <w:rFonts w:hint="eastAsia" w:ascii="仿宋" w:hAnsi="仿宋" w:eastAsia="仿宋" w:cs="仿宋"/>
          <w:b/>
          <w:bCs/>
          <w:color w:val="0000FF"/>
          <w:kern w:val="0"/>
          <w:sz w:val="31"/>
          <w:szCs w:val="31"/>
          <w:lang w:val="en-US" w:eastAsia="zh-CN" w:bidi="ar"/>
        </w:rPr>
        <w:t>）</w:t>
      </w:r>
      <w:r>
        <w:rPr>
          <w:rFonts w:hint="eastAsia" w:ascii="仿宋" w:hAnsi="仿宋" w:eastAsia="仿宋" w:cs="仿宋"/>
          <w:color w:val="000000"/>
          <w:kern w:val="0"/>
          <w:sz w:val="31"/>
          <w:szCs w:val="31"/>
          <w:lang w:val="en-US" w:eastAsia="zh-CN" w:bidi="ar"/>
        </w:rPr>
        <w:t>，经过个人申请、学校遴选推荐、省教育厅组织专家评审、网上公示等程序，我校18项获得</w:t>
      </w:r>
      <w:r>
        <w:rPr>
          <w:rFonts w:ascii="仿宋" w:hAnsi="仿宋" w:eastAsia="仿宋" w:cs="仿宋"/>
          <w:color w:val="000000"/>
          <w:kern w:val="0"/>
          <w:sz w:val="31"/>
          <w:szCs w:val="31"/>
          <w:lang w:val="en-US" w:eastAsia="zh-CN" w:bidi="ar"/>
        </w:rPr>
        <w:t>立项建设</w:t>
      </w:r>
      <w:r>
        <w:rPr>
          <w:rFonts w:hint="eastAsia" w:ascii="仿宋" w:hAnsi="仿宋" w:eastAsia="仿宋" w:cs="仿宋"/>
          <w:color w:val="000000"/>
          <w:kern w:val="0"/>
          <w:sz w:val="31"/>
          <w:szCs w:val="31"/>
          <w:lang w:val="en-US" w:eastAsia="zh-CN" w:bidi="ar"/>
        </w:rPr>
        <w:t>资格（详见附件）,其</w:t>
      </w:r>
      <w:r>
        <w:rPr>
          <w:rFonts w:ascii="仿宋" w:hAnsi="仿宋" w:eastAsia="仿宋" w:cs="仿宋"/>
          <w:color w:val="000000"/>
          <w:kern w:val="0"/>
          <w:sz w:val="31"/>
          <w:szCs w:val="31"/>
          <w:lang w:val="en-US" w:eastAsia="zh-CN" w:bidi="ar"/>
        </w:rPr>
        <w:t>中重点项目</w:t>
      </w:r>
      <w:r>
        <w:rPr>
          <w:rFonts w:hint="eastAsia" w:ascii="仿宋" w:hAnsi="仿宋" w:eastAsia="仿宋" w:cs="仿宋"/>
          <w:color w:val="000000"/>
          <w:kern w:val="0"/>
          <w:sz w:val="31"/>
          <w:szCs w:val="31"/>
          <w:lang w:val="en-US" w:eastAsia="zh-CN" w:bidi="ar"/>
        </w:rPr>
        <w:t>4</w:t>
      </w:r>
      <w:r>
        <w:rPr>
          <w:rFonts w:ascii="仿宋" w:hAnsi="仿宋" w:eastAsia="仿宋" w:cs="仿宋"/>
          <w:color w:val="000000"/>
          <w:kern w:val="0"/>
          <w:sz w:val="31"/>
          <w:szCs w:val="31"/>
          <w:lang w:val="en-US" w:eastAsia="zh-CN" w:bidi="ar"/>
        </w:rPr>
        <w:t xml:space="preserve"> 项，一般项目</w:t>
      </w:r>
      <w:r>
        <w:rPr>
          <w:rFonts w:hint="eastAsia" w:ascii="仿宋" w:hAnsi="仿宋" w:eastAsia="仿宋" w:cs="仿宋"/>
          <w:color w:val="000000"/>
          <w:kern w:val="0"/>
          <w:sz w:val="31"/>
          <w:szCs w:val="31"/>
          <w:lang w:val="en-US" w:eastAsia="zh-CN" w:bidi="ar"/>
        </w:rPr>
        <w:t>14</w:t>
      </w:r>
      <w:r>
        <w:rPr>
          <w:rFonts w:ascii="仿宋" w:hAnsi="仿宋" w:eastAsia="仿宋" w:cs="仿宋"/>
          <w:color w:val="000000"/>
          <w:kern w:val="0"/>
          <w:sz w:val="31"/>
          <w:szCs w:val="31"/>
          <w:lang w:val="en-US" w:eastAsia="zh-CN" w:bidi="ar"/>
        </w:rPr>
        <w:t>项。现将有关</w:t>
      </w:r>
      <w:r>
        <w:rPr>
          <w:rFonts w:hint="eastAsia" w:ascii="仿宋" w:hAnsi="仿宋" w:eastAsia="仿宋" w:cs="仿宋"/>
          <w:color w:val="000000"/>
          <w:kern w:val="0"/>
          <w:sz w:val="31"/>
          <w:szCs w:val="31"/>
          <w:lang w:val="en-US" w:eastAsia="zh-CN" w:bidi="ar"/>
        </w:rPr>
        <w:t>事宜通知如下：</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一、“省级学位与研究生教改项目”立项建设周期一般为两年，</w:t>
      </w:r>
      <w:r>
        <w:rPr>
          <w:rFonts w:hint="eastAsia" w:ascii="仿宋" w:hAnsi="仿宋" w:eastAsia="仿宋" w:cs="仿宋"/>
          <w:color w:val="000000"/>
          <w:kern w:val="0"/>
          <w:sz w:val="31"/>
          <w:szCs w:val="31"/>
          <w:lang w:val="en-US" w:eastAsia="zh-CN" w:bidi="ar"/>
        </w:rPr>
        <w:t>特殊情况经省教育厅审核同意后可适当延长，但不超过 3 年。无故不能完成研究任务或自行中止的项目，按规定予以撤销。</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二</w:t>
      </w:r>
      <w:r>
        <w:rPr>
          <w:rFonts w:ascii="仿宋" w:hAnsi="仿宋" w:eastAsia="仿宋" w:cs="仿宋"/>
          <w:color w:val="000000"/>
          <w:kern w:val="0"/>
          <w:sz w:val="31"/>
          <w:szCs w:val="31"/>
          <w:lang w:val="en-US" w:eastAsia="zh-CN" w:bidi="ar"/>
        </w:rPr>
        <w:t>、项目负责人具体负责“省级学位与研究生教改项目”的</w:t>
      </w:r>
      <w:r>
        <w:rPr>
          <w:rFonts w:hint="eastAsia" w:ascii="仿宋" w:hAnsi="仿宋" w:eastAsia="仿宋" w:cs="仿宋"/>
          <w:color w:val="000000"/>
          <w:kern w:val="0"/>
          <w:sz w:val="31"/>
          <w:szCs w:val="31"/>
          <w:lang w:val="en-US" w:eastAsia="zh-CN" w:bidi="ar"/>
        </w:rPr>
        <w:t>调研论证、方案设计、成果总结、实践应用和经费使用等工作。项目组成员在立项建设期内原则上不允许变更，对因工作变动等原因不能继续研究者，申请结项时由项目负责人所在单位提出变更意见，报我厅学位管理与研究生教育处审批。</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三</w:t>
      </w:r>
      <w:r>
        <w:rPr>
          <w:rFonts w:ascii="仿宋" w:hAnsi="仿宋" w:eastAsia="仿宋" w:cs="仿宋"/>
          <w:color w:val="000000"/>
          <w:kern w:val="0"/>
          <w:sz w:val="31"/>
          <w:szCs w:val="31"/>
          <w:lang w:val="en-US" w:eastAsia="zh-CN" w:bidi="ar"/>
        </w:rPr>
        <w:t>、项目研究应准确把握国内外学位管理与研究生教育教学</w:t>
      </w:r>
      <w:r>
        <w:rPr>
          <w:rFonts w:hint="eastAsia" w:ascii="仿宋" w:hAnsi="仿宋" w:eastAsia="仿宋" w:cs="仿宋"/>
          <w:color w:val="000000"/>
          <w:kern w:val="0"/>
          <w:sz w:val="31"/>
          <w:szCs w:val="31"/>
          <w:lang w:val="en-US" w:eastAsia="zh-CN" w:bidi="ar"/>
        </w:rPr>
        <w:t>改革的发展趋势，坚持理论结合实际，重视改革创新。重大项目要着重围绕全省学位管理与研究生教育改革发展需要，做好顶层设计、统筹规划等方面的研究与实践工作；重点项目要着力反映和解决当前学位管理与研究生教育教学改革重点、难点和热点问题。鼓励在《学位与研究生教育》《中国研究生》《研究生教育研究》《大学与学科》及 CSSCI、SSCI 等收录期刊上发表高平教研论文。</w:t>
      </w:r>
    </w:p>
    <w:p>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四</w:t>
      </w:r>
      <w:r>
        <w:rPr>
          <w:rFonts w:ascii="仿宋" w:hAnsi="仿宋" w:eastAsia="仿宋" w:cs="仿宋"/>
          <w:color w:val="000000"/>
          <w:kern w:val="0"/>
          <w:sz w:val="31"/>
          <w:szCs w:val="31"/>
          <w:lang w:val="en-US" w:eastAsia="zh-CN" w:bidi="ar"/>
        </w:rPr>
        <w:t>、省教育厅负责组织专家对“省级学位与研究生教改项目”</w:t>
      </w:r>
      <w:r>
        <w:rPr>
          <w:rFonts w:hint="eastAsia" w:ascii="仿宋" w:hAnsi="仿宋" w:eastAsia="仿宋" w:cs="仿宋"/>
          <w:color w:val="000000"/>
          <w:kern w:val="0"/>
          <w:sz w:val="31"/>
          <w:szCs w:val="31"/>
          <w:lang w:val="en-US" w:eastAsia="zh-CN" w:bidi="ar"/>
        </w:rPr>
        <w:t>进行指导、检查和结项评审。项目负责人所在单位要对项目实施情况进行督促指导和全过程监督，并及时将项目研究阶段性成果应用到学位管理与研究生教育工作实践中。项目组成员发表的论文、著作等成果，须标注“河南省高等教育教学改革研究与实践项目（学位与研究生教育）成果”和项目批准号，在国际学术期刊上发表的论文等成果，须标注“Academic Degrees &amp; Graduate Education Reform Project of Henan Province”和项目批准号，未标注的不得作为结项评价</w:t>
      </w:r>
      <w:bookmarkStart w:id="0" w:name="_GoBack"/>
      <w:bookmarkEnd w:id="0"/>
      <w:r>
        <w:rPr>
          <w:rFonts w:hint="eastAsia" w:ascii="仿宋" w:hAnsi="仿宋" w:eastAsia="仿宋" w:cs="仿宋"/>
          <w:color w:val="000000"/>
          <w:kern w:val="0"/>
          <w:sz w:val="31"/>
          <w:szCs w:val="31"/>
          <w:lang w:val="en-US" w:eastAsia="zh-CN" w:bidi="ar"/>
        </w:rPr>
        <w:t>材料。</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pPr>
      <w:r>
        <w:rPr>
          <w:rFonts w:ascii="仿宋" w:hAnsi="仿宋" w:eastAsia="仿宋" w:cs="仿宋"/>
          <w:color w:val="000000"/>
          <w:kern w:val="0"/>
          <w:sz w:val="31"/>
          <w:szCs w:val="31"/>
          <w:lang w:val="en-US" w:eastAsia="zh-CN" w:bidi="ar"/>
        </w:rPr>
        <w:t xml:space="preserve">附件：2021 年河南省高等教育教学改革研究与实践项目（学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位与研究生教育）立项名单</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研究生院 培养办公室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联系人：熊宇钰</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联系电话：56552967</w:t>
      </w:r>
    </w:p>
    <w:p>
      <w:pPr>
        <w:keepNext w:val="0"/>
        <w:keepLines w:val="0"/>
        <w:widowControl/>
        <w:suppressLineNumbers w:val="0"/>
        <w:jc w:val="left"/>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 件 </w:t>
      </w:r>
    </w:p>
    <w:p>
      <w:pPr>
        <w:keepNext w:val="0"/>
        <w:keepLines w:val="0"/>
        <w:widowControl/>
        <w:suppressLineNumbers w:val="0"/>
        <w:ind w:firstLine="1400" w:firstLineChars="50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2021年河南省高等教育教学改革研究与实践项目</w:t>
      </w:r>
    </w:p>
    <w:p>
      <w:pPr>
        <w:keepNext w:val="0"/>
        <w:keepLines w:val="0"/>
        <w:widowControl/>
        <w:suppressLineNumbers w:val="0"/>
        <w:ind w:firstLine="1960" w:firstLineChars="700"/>
        <w:jc w:val="left"/>
        <w:rPr>
          <w:rFonts w:hint="eastAsia" w:ascii="仿宋" w:hAnsi="仿宋" w:eastAsia="仿宋" w:cs="仿宋"/>
          <w:sz w:val="24"/>
          <w:szCs w:val="24"/>
        </w:rPr>
      </w:pPr>
      <w:r>
        <w:rPr>
          <w:rFonts w:hint="eastAsia" w:ascii="仿宋" w:hAnsi="仿宋" w:eastAsia="仿宋" w:cs="仿宋"/>
          <w:color w:val="000000"/>
          <w:kern w:val="0"/>
          <w:sz w:val="28"/>
          <w:szCs w:val="28"/>
          <w:lang w:val="en-US" w:eastAsia="zh-CN" w:bidi="ar"/>
        </w:rPr>
        <w:t>（学位与研究生教育）立项名单</w:t>
      </w:r>
      <w:r>
        <w:rPr>
          <w:rFonts w:hint="eastAsia" w:ascii="仿宋" w:hAnsi="仿宋" w:eastAsia="仿宋" w:cs="仿宋"/>
          <w:color w:val="000000"/>
          <w:kern w:val="0"/>
          <w:sz w:val="24"/>
          <w:szCs w:val="24"/>
          <w:lang w:val="en-US" w:eastAsia="zh-CN" w:bidi="ar"/>
        </w:rPr>
        <w:t xml:space="preserve"> </w:t>
      </w:r>
    </w:p>
    <w:p>
      <w:pPr>
        <w:keepNext w:val="0"/>
        <w:keepLines w:val="0"/>
        <w:widowControl/>
        <w:suppressLineNumbers w:val="0"/>
        <w:jc w:val="left"/>
      </w:pPr>
    </w:p>
    <w:tbl>
      <w:tblPr>
        <w:tblStyle w:val="3"/>
        <w:tblW w:w="9480" w:type="dxa"/>
        <w:tblInd w:w="-3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1800"/>
        <w:gridCol w:w="1130"/>
        <w:gridCol w:w="2720"/>
        <w:gridCol w:w="950"/>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730" w:type="dxa"/>
          </w:tcPr>
          <w:p>
            <w:pPr>
              <w:keepNext w:val="0"/>
              <w:keepLines w:val="0"/>
              <w:widowControl/>
              <w:suppressLineNumbers w:val="0"/>
              <w:jc w:val="left"/>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序号</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黑体" w:hAnsi="宋体" w:eastAsia="黑体" w:cs="黑体"/>
                <w:color w:val="000000"/>
                <w:kern w:val="0"/>
                <w:sz w:val="21"/>
                <w:szCs w:val="21"/>
                <w:lang w:val="en-US" w:eastAsia="zh-CN" w:bidi="ar"/>
              </w:rPr>
              <w:t>项目批准号</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黑体" w:hAnsi="宋体" w:eastAsia="黑体" w:cs="黑体"/>
                <w:color w:val="000000"/>
                <w:kern w:val="0"/>
                <w:sz w:val="21"/>
                <w:szCs w:val="21"/>
                <w:lang w:val="en-US" w:eastAsia="zh-CN" w:bidi="ar"/>
              </w:rPr>
              <w:t xml:space="preserve">项目类别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黑体" w:hAnsi="宋体" w:eastAsia="黑体" w:cs="黑体"/>
                <w:color w:val="000000"/>
                <w:kern w:val="0"/>
                <w:sz w:val="21"/>
                <w:szCs w:val="21"/>
                <w:lang w:val="en-US" w:eastAsia="zh-CN" w:bidi="ar"/>
              </w:rPr>
              <w:t xml:space="preserve">项目名称 </w:t>
            </w:r>
          </w:p>
        </w:tc>
        <w:tc>
          <w:tcPr>
            <w:tcW w:w="950" w:type="dxa"/>
          </w:tcPr>
          <w:p>
            <w:pPr>
              <w:keepNext w:val="0"/>
              <w:keepLines w:val="0"/>
              <w:widowControl/>
              <w:suppressLineNumbers w:val="0"/>
              <w:jc w:val="left"/>
              <w:rPr>
                <w:rFonts w:ascii="黑体" w:hAnsi="宋体" w:eastAsia="黑体" w:cs="黑体"/>
                <w:color w:val="000000"/>
                <w:kern w:val="0"/>
                <w:sz w:val="21"/>
                <w:szCs w:val="21"/>
                <w:lang w:val="en-US" w:eastAsia="zh-CN" w:bidi="ar"/>
              </w:rPr>
            </w:pPr>
            <w:r>
              <w:rPr>
                <w:rFonts w:ascii="黑体" w:hAnsi="宋体" w:eastAsia="黑体" w:cs="黑体"/>
                <w:color w:val="000000"/>
                <w:kern w:val="0"/>
                <w:sz w:val="21"/>
                <w:szCs w:val="21"/>
                <w:lang w:val="en-US" w:eastAsia="zh-CN" w:bidi="ar"/>
              </w:rPr>
              <w:t>项目</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黑体" w:hAnsi="宋体" w:eastAsia="黑体" w:cs="黑体"/>
                <w:color w:val="000000"/>
                <w:kern w:val="0"/>
                <w:sz w:val="21"/>
                <w:szCs w:val="21"/>
                <w:lang w:val="en-US" w:eastAsia="zh-CN" w:bidi="ar"/>
              </w:rPr>
              <w:t xml:space="preserve">负责人 </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黑体" w:hAnsi="宋体" w:eastAsia="黑体" w:cs="黑体"/>
                <w:color w:val="000000"/>
                <w:kern w:val="0"/>
                <w:sz w:val="21"/>
                <w:szCs w:val="21"/>
                <w:lang w:val="en-US" w:eastAsia="zh-CN" w:bidi="ar"/>
              </w:rPr>
              <w:t xml:space="preserve">项目建设单位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2021SJGLX040Y </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重点项目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“本硕博”贯通培养拔尖创新农林人才模式改革研究与实践 </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林同保 </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2021SJGLX041Y </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重点项目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“科技小院”体系建设助推专业学位研究生教育改革研究与实践 </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张红阳 </w:t>
            </w:r>
          </w:p>
        </w:tc>
        <w:tc>
          <w:tcPr>
            <w:tcW w:w="21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河南农业大学、河南省科学技术 </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仿宋" w:hAnsi="仿宋" w:eastAsia="仿宋" w:cs="仿宋"/>
                <w:color w:val="000000"/>
                <w:kern w:val="0"/>
                <w:sz w:val="21"/>
                <w:szCs w:val="21"/>
                <w:lang w:val="en-US" w:eastAsia="zh-CN" w:bidi="ar"/>
              </w:rPr>
              <w:t>协会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2021SJGLX042Y </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重点项目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专业与思政双动力驱动新型兽医专业学位研究生培养质量保障体系研究</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张龙现 </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4</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2021SJGLX043Y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重点项目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河南农业大学作物学科研究生高质量发展模式研究与实践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王道文 </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2021SJGLX152Y </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乡村振兴背景下农业硕士“需求导向”型培养模式构建及实践路径研究</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宋保胜</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6</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 xml:space="preserve">2021SJGLX153Y </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仿宋" w:hAnsi="仿宋" w:eastAsia="仿宋" w:cs="仿宋"/>
                <w:color w:val="000000"/>
                <w:kern w:val="0"/>
                <w:sz w:val="21"/>
                <w:szCs w:val="21"/>
                <w:lang w:val="en-US" w:eastAsia="zh-CN" w:bidi="ar"/>
              </w:rPr>
              <w:t>基于</w:t>
            </w:r>
            <w:r>
              <w:rPr>
                <w:rFonts w:ascii="仿宋" w:hAnsi="仿宋" w:eastAsia="仿宋" w:cs="仿宋"/>
                <w:color w:val="000000"/>
                <w:kern w:val="0"/>
                <w:sz w:val="21"/>
                <w:szCs w:val="21"/>
                <w:lang w:val="en-US" w:eastAsia="zh-CN" w:bidi="ar"/>
              </w:rPr>
              <w:t>“MOOC+SPOC”混合模式研究生优质课程建设研究</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郭伟</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7</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2021SJGLX154Y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基于创新基地建设的生物与医药专业学位硕士研究生培养模式研究与实践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郭朋</w:t>
            </w:r>
          </w:p>
        </w:tc>
        <w:tc>
          <w:tcPr>
            <w:tcW w:w="21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河南农业大学</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8</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2021SJGLX155Y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新时代背景下体育硕士专业学位研究生实践能力培养模式研究与实践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管勇生</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河南农业大学、国家体育总局、郑</w:t>
            </w:r>
            <w:r>
              <w:rPr>
                <w:rFonts w:hint="eastAsia" w:ascii="仿宋" w:hAnsi="仿宋" w:eastAsia="仿宋" w:cs="仿宋"/>
                <w:color w:val="000000"/>
                <w:kern w:val="0"/>
                <w:sz w:val="21"/>
                <w:szCs w:val="21"/>
                <w:lang w:val="en-US" w:eastAsia="zh-CN" w:bidi="ar"/>
              </w:rPr>
              <w:t>州大学、河南财政金融学院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9</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2021SJGLX156Y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“以赛促教、以赛促学、产教融合”背景下研究生创新创业人才培养模 </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仿宋" w:hAnsi="仿宋" w:eastAsia="仿宋" w:cs="仿宋"/>
                <w:color w:val="000000"/>
                <w:kern w:val="0"/>
                <w:sz w:val="21"/>
                <w:szCs w:val="21"/>
                <w:lang w:val="en-US" w:eastAsia="zh-CN" w:bidi="ar"/>
              </w:rPr>
              <w:t xml:space="preserve">式探索与实践 </w:t>
            </w:r>
          </w:p>
        </w:tc>
        <w:tc>
          <w:tcPr>
            <w:tcW w:w="9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孙凯乐</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河南农业大学、鄢陵建业绿色基 </w:t>
            </w:r>
            <w:r>
              <w:rPr>
                <w:rFonts w:hint="eastAsia" w:ascii="仿宋" w:hAnsi="仿宋" w:eastAsia="仿宋" w:cs="仿宋"/>
                <w:color w:val="000000"/>
                <w:kern w:val="0"/>
                <w:sz w:val="21"/>
                <w:szCs w:val="21"/>
                <w:lang w:val="en-US" w:eastAsia="zh-CN" w:bidi="ar"/>
              </w:rPr>
              <w:t>地建设有限公司、河南鑫芳生态农业发展有限公司、河南凤彩农业发展有限公司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10</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2021SJGLX157Y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农业高等院校研究生培养模式创新研究与实践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姜桂英</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11</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2021SJGLX158Y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基于产教融合的林业专业学位研究生培养模式改革与实践</w:t>
            </w:r>
          </w:p>
        </w:tc>
        <w:tc>
          <w:tcPr>
            <w:tcW w:w="9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闫东锋</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河南农业大学、河南省林业科学</w:t>
            </w:r>
            <w:r>
              <w:rPr>
                <w:rFonts w:hint="eastAsia" w:ascii="仿宋" w:hAnsi="仿宋" w:eastAsia="仿宋" w:cs="仿宋"/>
                <w:color w:val="000000"/>
                <w:kern w:val="0"/>
                <w:sz w:val="21"/>
                <w:szCs w:val="21"/>
                <w:lang w:val="en-US" w:eastAsia="zh-CN" w:bidi="ar"/>
              </w:rPr>
              <w:t>研究院、河南润友林业技术服务有限公司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12</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2021SJGLX159Y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农业院校社会工作硕士校地协同育人机制创新研究与实践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李伟</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13</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2021SJGLX160Y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新农科背景下资源利用与植物保护领域农业专业学位研究生专业类课 </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仿宋" w:hAnsi="仿宋" w:eastAsia="仿宋" w:cs="仿宋"/>
                <w:color w:val="000000"/>
                <w:kern w:val="0"/>
                <w:sz w:val="21"/>
                <w:szCs w:val="21"/>
                <w:lang w:val="en-US" w:eastAsia="zh-CN" w:bidi="ar"/>
              </w:rPr>
              <w:t>程教学创新研究与实践</w:t>
            </w:r>
          </w:p>
        </w:tc>
        <w:tc>
          <w:tcPr>
            <w:tcW w:w="9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邢小萍</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21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河南农业大学</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14</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2021SJGLX161Y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研究生专业课程与思想政治理论课同向同行研究与实践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王雷松</w:t>
            </w:r>
          </w:p>
        </w:tc>
        <w:tc>
          <w:tcPr>
            <w:tcW w:w="21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河南农业大学、河南大学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15</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2021SJGLX162Y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风景园林学科研究生全过程线上线下混合国际联合培养模式研究 </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雷雅凯</w:t>
            </w:r>
          </w:p>
        </w:tc>
        <w:tc>
          <w:tcPr>
            <w:tcW w:w="215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河南农业大学、河南轻工职业学</w:t>
            </w:r>
            <w:r>
              <w:rPr>
                <w:rFonts w:hint="eastAsia" w:ascii="仿宋" w:hAnsi="仿宋" w:eastAsia="仿宋" w:cs="仿宋"/>
                <w:color w:val="000000"/>
                <w:kern w:val="0"/>
                <w:sz w:val="21"/>
                <w:szCs w:val="21"/>
                <w:lang w:val="en-US" w:eastAsia="zh-CN" w:bidi="ar"/>
              </w:rPr>
              <w:t>院、河南科技学院、郑州航空工业管理学院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730" w:type="dxa"/>
          </w:tcPr>
          <w:p>
            <w:pPr>
              <w:keepNext w:val="0"/>
              <w:keepLines w:val="0"/>
              <w:widowControl/>
              <w:suppressLineNumbers w:val="0"/>
              <w:jc w:val="left"/>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16</w:t>
            </w:r>
          </w:p>
        </w:tc>
        <w:tc>
          <w:tcPr>
            <w:tcW w:w="180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default" w:ascii="Times New Roman" w:hAnsi="Times New Roman" w:eastAsia="宋体" w:cs="Times New Roman"/>
                <w:color w:val="000000"/>
                <w:kern w:val="0"/>
                <w:sz w:val="21"/>
                <w:szCs w:val="21"/>
                <w:lang w:val="en-US" w:eastAsia="zh-CN" w:bidi="ar"/>
              </w:rPr>
              <w:t>2021SJGLX163Y</w:t>
            </w: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面向乡村振兴的交通运输专业学位点协同育人机制探索与实践</w:t>
            </w:r>
          </w:p>
        </w:tc>
        <w:tc>
          <w:tcPr>
            <w:tcW w:w="95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王振锋 </w:t>
            </w:r>
          </w:p>
        </w:tc>
        <w:tc>
          <w:tcPr>
            <w:tcW w:w="2150" w:type="dxa"/>
          </w:tcPr>
          <w:p>
            <w:pPr>
              <w:keepNext w:val="0"/>
              <w:keepLines w:val="0"/>
              <w:widowControl/>
              <w:suppressLineNumbers w:val="0"/>
              <w:jc w:val="left"/>
              <w:rPr>
                <w:rFonts w:hint="eastAsia"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河南农业大学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17</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2021SJGLX164Y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“双一流”学科建设背景下烟草学研究生实践教学模式与创新能力培养研究</w:t>
            </w:r>
          </w:p>
        </w:tc>
        <w:tc>
          <w:tcPr>
            <w:tcW w:w="9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符云鹏</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21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河南农业大学</w:t>
            </w:r>
          </w:p>
          <w:p>
            <w:pPr>
              <w:keepNext w:val="0"/>
              <w:keepLines w:val="0"/>
              <w:widowControl/>
              <w:suppressLineNumbers w:val="0"/>
              <w:jc w:val="left"/>
              <w:rPr>
                <w:rFonts w:hint="eastAsia" w:ascii="仿宋" w:hAnsi="仿宋" w:eastAsia="仿宋" w:cs="仿宋"/>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hint="eastAsia" w:ascii="Times New Roman" w:hAnsi="Times New Roman" w:eastAsia="宋体" w:cs="Times New Roman"/>
                <w:color w:val="000000"/>
                <w:kern w:val="0"/>
                <w:sz w:val="21"/>
                <w:szCs w:val="21"/>
                <w:lang w:val="en-US" w:eastAsia="zh-CN" w:bidi="ar"/>
              </w:rPr>
              <w:t>18</w:t>
            </w:r>
          </w:p>
        </w:tc>
        <w:tc>
          <w:tcPr>
            <w:tcW w:w="1800" w:type="dxa"/>
          </w:tcPr>
          <w:p>
            <w:pPr>
              <w:keepNext w:val="0"/>
              <w:keepLines w:val="0"/>
              <w:widowControl/>
              <w:suppressLineNumbers w:val="0"/>
              <w:jc w:val="left"/>
            </w:pPr>
            <w:r>
              <w:rPr>
                <w:rFonts w:hint="default" w:ascii="Times New Roman" w:hAnsi="Times New Roman" w:eastAsia="宋体" w:cs="Times New Roman"/>
                <w:color w:val="000000"/>
                <w:kern w:val="0"/>
                <w:sz w:val="21"/>
                <w:szCs w:val="21"/>
                <w:lang w:val="en-US" w:eastAsia="zh-CN" w:bidi="ar"/>
              </w:rPr>
              <w:t>2021SJGLX165Y</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1130" w:type="dxa"/>
          </w:tcPr>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r>
              <w:rPr>
                <w:rFonts w:ascii="仿宋" w:hAnsi="仿宋" w:eastAsia="仿宋" w:cs="仿宋"/>
                <w:color w:val="000000"/>
                <w:kern w:val="0"/>
                <w:sz w:val="21"/>
                <w:szCs w:val="21"/>
                <w:lang w:val="en-US" w:eastAsia="zh-CN" w:bidi="ar"/>
              </w:rPr>
              <w:t xml:space="preserve">一般项目 </w:t>
            </w:r>
          </w:p>
        </w:tc>
        <w:tc>
          <w:tcPr>
            <w:tcW w:w="2720" w:type="dxa"/>
          </w:tcPr>
          <w:p>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高等农业院校翻译硕士专业学位研究生培养机制研究与实践</w:t>
            </w:r>
          </w:p>
        </w:tc>
        <w:tc>
          <w:tcPr>
            <w:tcW w:w="9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 xml:space="preserve">张俊杰 </w:t>
            </w:r>
          </w:p>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vertAlign w:val="baseline"/>
                <w:lang w:val="en-US" w:eastAsia="zh-CN" w:bidi="ar"/>
              </w:rPr>
            </w:pPr>
          </w:p>
        </w:tc>
        <w:tc>
          <w:tcPr>
            <w:tcW w:w="2150" w:type="dxa"/>
          </w:tcPr>
          <w:p>
            <w:pPr>
              <w:keepNext w:val="0"/>
              <w:keepLines w:val="0"/>
              <w:widowControl/>
              <w:suppressLineNumbers w:val="0"/>
              <w:jc w:val="left"/>
            </w:pPr>
            <w:r>
              <w:rPr>
                <w:rFonts w:ascii="仿宋" w:hAnsi="仿宋" w:eastAsia="仿宋" w:cs="仿宋"/>
                <w:color w:val="000000"/>
                <w:kern w:val="0"/>
                <w:sz w:val="21"/>
                <w:szCs w:val="21"/>
                <w:lang w:val="en-US" w:eastAsia="zh-CN" w:bidi="ar"/>
              </w:rPr>
              <w:t>河南农业大学</w:t>
            </w:r>
          </w:p>
          <w:p>
            <w:pPr>
              <w:keepNext w:val="0"/>
              <w:keepLines w:val="0"/>
              <w:widowControl/>
              <w:suppressLineNumbers w:val="0"/>
              <w:jc w:val="left"/>
              <w:rPr>
                <w:rFonts w:hint="eastAsia" w:ascii="仿宋" w:hAnsi="仿宋" w:eastAsia="仿宋" w:cs="仿宋"/>
                <w:color w:val="000000"/>
                <w:kern w:val="0"/>
                <w:sz w:val="21"/>
                <w:szCs w:val="21"/>
                <w:lang w:val="en-US" w:eastAsia="zh-CN" w:bidi="ar"/>
              </w:rPr>
            </w:pPr>
          </w:p>
        </w:tc>
      </w:tr>
    </w:tbl>
    <w:p>
      <w:pPr>
        <w:keepNext w:val="0"/>
        <w:keepLines w:val="0"/>
        <w:widowControl/>
        <w:suppressLineNumbers w:val="0"/>
        <w:jc w:val="left"/>
        <w:rPr>
          <w:rFonts w:hint="default" w:ascii="方正小标宋简体" w:hAnsi="方正小标宋简体" w:eastAsia="方正小标宋简体" w:cs="方正小标宋简体"/>
          <w:color w:val="000000"/>
          <w:kern w:val="0"/>
          <w:sz w:val="43"/>
          <w:szCs w:val="43"/>
          <w:lang w:val="en-US" w:eastAsia="zh-CN"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宋体-方正超大字符集"/>
    <w:panose1 w:val="00000000000000000000"/>
    <w:charset w:val="00"/>
    <w:family w:val="auto"/>
    <w:pitch w:val="default"/>
    <w:sig w:usb0="00000000" w:usb1="00000000" w:usb2="00000000" w:usb3="00000000" w:csb0="00000000" w:csb1="00000000"/>
  </w:font>
  <w:font w:name="宋体-方正超大字符集">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zODRkNjI3YmM0YTk3ODJjMGFkMGZhNzc3NjhmODgifQ=="/>
  </w:docVars>
  <w:rsids>
    <w:rsidRoot w:val="00000000"/>
    <w:rsid w:val="0B9263C7"/>
    <w:rsid w:val="0F615EBD"/>
    <w:rsid w:val="12111E16"/>
    <w:rsid w:val="12214619"/>
    <w:rsid w:val="12E34E3B"/>
    <w:rsid w:val="1779650D"/>
    <w:rsid w:val="18DD40DB"/>
    <w:rsid w:val="19A26F15"/>
    <w:rsid w:val="1A011336"/>
    <w:rsid w:val="1BE7599C"/>
    <w:rsid w:val="1C70236E"/>
    <w:rsid w:val="1D4C1AAE"/>
    <w:rsid w:val="21862FE5"/>
    <w:rsid w:val="21E629AA"/>
    <w:rsid w:val="27EF6F7C"/>
    <w:rsid w:val="2C016606"/>
    <w:rsid w:val="2EBA00DD"/>
    <w:rsid w:val="2F0F49CE"/>
    <w:rsid w:val="32662F17"/>
    <w:rsid w:val="342F1837"/>
    <w:rsid w:val="34813A56"/>
    <w:rsid w:val="35A46EA2"/>
    <w:rsid w:val="3A940645"/>
    <w:rsid w:val="42D90044"/>
    <w:rsid w:val="435F7C00"/>
    <w:rsid w:val="46A234C7"/>
    <w:rsid w:val="48FD5F50"/>
    <w:rsid w:val="4AF13892"/>
    <w:rsid w:val="4F204746"/>
    <w:rsid w:val="4F8E445B"/>
    <w:rsid w:val="508C2075"/>
    <w:rsid w:val="53694C12"/>
    <w:rsid w:val="552B2B10"/>
    <w:rsid w:val="56D26F61"/>
    <w:rsid w:val="57B974E6"/>
    <w:rsid w:val="5A4C342B"/>
    <w:rsid w:val="5B851486"/>
    <w:rsid w:val="5B886F0E"/>
    <w:rsid w:val="5BAC183B"/>
    <w:rsid w:val="5DB97794"/>
    <w:rsid w:val="5DDE6DED"/>
    <w:rsid w:val="5FE5171A"/>
    <w:rsid w:val="61975313"/>
    <w:rsid w:val="64B60C45"/>
    <w:rsid w:val="678C12FA"/>
    <w:rsid w:val="68415BFE"/>
    <w:rsid w:val="6BCA39D3"/>
    <w:rsid w:val="6C055E37"/>
    <w:rsid w:val="6C597760"/>
    <w:rsid w:val="74B77572"/>
    <w:rsid w:val="78A0586D"/>
    <w:rsid w:val="79FE55F7"/>
    <w:rsid w:val="7A211311"/>
    <w:rsid w:val="7B707D38"/>
    <w:rsid w:val="7BFF0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1903</Words>
  <Characters>2228</Characters>
  <Lines>0</Lines>
  <Paragraphs>0</Paragraphs>
  <TotalTime>12</TotalTime>
  <ScaleCrop>false</ScaleCrop>
  <LinksUpToDate>false</LinksUpToDate>
  <CharactersWithSpaces>2377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2021-12-28T01:28:00Z</dcterms:created>
  <dc:creator>LENOVO</dc:creator>
  <cp:lastModifiedBy>平</cp:lastModifiedBy>
  <dcterms:modified xsi:type="dcterms:W3CDTF">2023-03-01T02:26:03Z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537F83097AD8429283A2689D83677B13</vt:lpwstr>
  </property>
</Properties>
</file>